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EA" w:rsidRDefault="00B404EA" w:rsidP="0069020F">
      <w:pPr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1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1"/>
        <w:gridCol w:w="5171"/>
      </w:tblGrid>
      <w:tr w:rsidR="00B404EA" w:rsidRPr="008C75E7" w:rsidTr="008C75E7">
        <w:trPr>
          <w:trHeight w:val="1741"/>
        </w:trPr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4EA" w:rsidRPr="0069020F" w:rsidRDefault="0069020F" w:rsidP="0069020F">
            <w:pPr>
              <w:rPr>
                <w:lang w:val="ru-RU"/>
              </w:rPr>
            </w:pPr>
            <w:r w:rsidRPr="0069020F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СОГЛАСОВАНО</w:t>
            </w:r>
            <w:r w:rsidRPr="0069020F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69020F">
              <w:rPr>
                <w:lang w:val="ru-RU"/>
              </w:rPr>
              <w:br/>
            </w:r>
            <w:r w:rsidRPr="0069020F">
              <w:rPr>
                <w:lang w:val="ru-RU"/>
              </w:rPr>
              <w:br/>
            </w:r>
            <w:r w:rsidRPr="00690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0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69020F">
              <w:rPr>
                <w:lang w:val="ru-RU"/>
              </w:rPr>
              <w:br/>
            </w:r>
            <w:r w:rsidRPr="00690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№4</w:t>
            </w:r>
            <w:r w:rsidRPr="00690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25.08.2022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020F" w:rsidRPr="008C75E7" w:rsidRDefault="008C75E7" w:rsidP="0069020F">
            <w:pP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1437410" wp14:editId="33C83F8A">
                  <wp:simplePos x="0" y="0"/>
                  <wp:positionH relativeFrom="column">
                    <wp:posOffset>-428625</wp:posOffset>
                  </wp:positionH>
                  <wp:positionV relativeFrom="page">
                    <wp:posOffset>74930</wp:posOffset>
                  </wp:positionV>
                  <wp:extent cx="1314450" cy="1400175"/>
                  <wp:effectExtent l="0" t="0" r="0" b="0"/>
                  <wp:wrapNone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020F" w:rsidRPr="0069020F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УТВЕРЖДЕНО</w:t>
            </w:r>
            <w:r w:rsidR="0069020F" w:rsidRPr="0069020F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69020F" w:rsidRPr="0069020F" w:rsidRDefault="0069020F" w:rsidP="0069020F">
            <w:pPr>
              <w:rPr>
                <w:lang w:val="ru-RU"/>
              </w:rPr>
            </w:pPr>
            <w:r w:rsidRPr="0069020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Заведующим МБДОУ «Одуванчик»</w:t>
            </w:r>
            <w:r w:rsidR="008C75E7" w:rsidRPr="008C75E7">
              <w:rPr>
                <w:noProof/>
                <w:lang w:val="ru-RU" w:eastAsia="ru-RU"/>
              </w:rPr>
              <w:t xml:space="preserve"> </w:t>
            </w:r>
            <w:r w:rsidRPr="0069020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с. Захарово</w:t>
            </w:r>
          </w:p>
          <w:p w:rsidR="00B404EA" w:rsidRPr="0069020F" w:rsidRDefault="0069020F" w:rsidP="0069020F">
            <w:pPr>
              <w:rPr>
                <w:lang w:val="ru-RU"/>
              </w:rPr>
            </w:pPr>
            <w:r>
              <w:rPr>
                <w:lang w:val="ru-RU"/>
              </w:rPr>
              <w:t>_______</w:t>
            </w:r>
            <w:r w:rsidR="008C75E7">
              <w:rPr>
                <w:noProof/>
                <w:lang w:eastAsia="ru-RU"/>
              </w:rPr>
              <w:drawing>
                <wp:inline distT="0" distB="0" distL="0" distR="0" wp14:anchorId="74FCFF07" wp14:editId="28D09406">
                  <wp:extent cx="589951" cy="232609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860" cy="234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___ </w:t>
            </w:r>
            <w:proofErr w:type="spellStart"/>
            <w:r>
              <w:rPr>
                <w:lang w:val="ru-RU"/>
              </w:rPr>
              <w:t>Кайдалова</w:t>
            </w:r>
            <w:proofErr w:type="spellEnd"/>
            <w:r>
              <w:rPr>
                <w:lang w:val="ru-RU"/>
              </w:rPr>
              <w:t xml:space="preserve"> М.Н.</w:t>
            </w:r>
            <w:r w:rsidRPr="0069020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№40 </w:t>
            </w:r>
            <w:r w:rsidRPr="00690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7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25.08</w:t>
            </w:r>
            <w:r w:rsidRPr="00690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  <w:r w:rsidR="0067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90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404EA" w:rsidRPr="0069020F" w:rsidRDefault="00B404EA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</w:t>
      </w:r>
      <w:r w:rsidRPr="006902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 приема в</w:t>
      </w:r>
      <w:r w:rsidRPr="0069020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902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МБДОУ «Одуванчик» с. Захарово</w:t>
      </w:r>
      <w:r w:rsidRPr="0069020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bookmarkStart w:id="0" w:name="_GoBack"/>
      <w:bookmarkEnd w:id="0"/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1.1. 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«Одуванчик» с. Захарово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B96EC8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детский сад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B404EA" w:rsidRPr="0069020F" w:rsidRDefault="0069020F" w:rsidP="006902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2.3.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согласия 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2.5.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B404EA" w:rsidRPr="00675F93" w:rsidRDefault="0069020F" w:rsidP="00675F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2.7.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69020F">
        <w:rPr>
          <w:lang w:val="ru-RU"/>
        </w:rPr>
        <w:br/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B404EA" w:rsidRPr="0069020F" w:rsidRDefault="0069020F" w:rsidP="0069020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копии устава МБДОУ,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B404EA" w:rsidRPr="0069020F" w:rsidRDefault="0069020F" w:rsidP="0069020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B404EA" w:rsidRPr="0069020F" w:rsidRDefault="0069020F" w:rsidP="0069020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B404EA" w:rsidRPr="0069020F" w:rsidRDefault="0069020F" w:rsidP="0069020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B404EA" w:rsidRPr="0069020F" w:rsidRDefault="0069020F" w:rsidP="0069020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2.8.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69020F">
        <w:rPr>
          <w:lang w:val="ru-RU"/>
        </w:rPr>
        <w:br/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="00675F93">
        <w:rPr>
          <w:lang w:val="ru-RU"/>
        </w:rPr>
        <w:t xml:space="preserve"> 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5F93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Управления образования </w:t>
      </w:r>
      <w:proofErr w:type="spellStart"/>
      <w:r w:rsidR="00675F93">
        <w:rPr>
          <w:rFonts w:hAnsi="Times New Roman" w:cs="Times New Roman"/>
          <w:color w:val="000000"/>
          <w:sz w:val="24"/>
          <w:szCs w:val="24"/>
          <w:lang w:val="ru-RU"/>
        </w:rPr>
        <w:t>Чернянского</w:t>
      </w:r>
      <w:proofErr w:type="spellEnd"/>
      <w:r w:rsidR="00675F93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B404EA" w:rsidRPr="0069020F" w:rsidRDefault="0069020F" w:rsidP="0069020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— документ(-ы),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B404EA" w:rsidRPr="0069020F" w:rsidRDefault="0069020F" w:rsidP="0069020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B404EA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B404EA" w:rsidRDefault="0069020F" w:rsidP="0069020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B404EA" w:rsidRPr="0069020F" w:rsidRDefault="0069020F" w:rsidP="0069020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B404EA" w:rsidRPr="0069020F" w:rsidRDefault="0069020F" w:rsidP="0069020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3.4.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69020F">
        <w:rPr>
          <w:lang w:val="ru-RU"/>
        </w:rPr>
        <w:br/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675F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3.10.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 xml:space="preserve">сети «Интернет» 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75F93" w:rsidRPr="0069020F">
        <w:rPr>
          <w:rFonts w:hAnsi="Times New Roman" w:cs="Times New Roman"/>
          <w:color w:val="000000"/>
          <w:sz w:val="24"/>
          <w:szCs w:val="24"/>
          <w:lang w:val="ru-RU"/>
        </w:rPr>
        <w:t>случае,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представления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образовании 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B404EA" w:rsidRPr="0069020F" w:rsidRDefault="0069020F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личных дел ответственное должностное лицо формирует новые личные дела,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020F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B404EA" w:rsidRPr="0069020F" w:rsidRDefault="00B404EA" w:rsidP="0069020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404EA" w:rsidRPr="0069020F" w:rsidSect="0069020F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35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73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56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75F93"/>
    <w:rsid w:val="0069020F"/>
    <w:rsid w:val="008C75E7"/>
    <w:rsid w:val="00B404EA"/>
    <w:rsid w:val="00B73A5A"/>
    <w:rsid w:val="00B96EC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3D84C-36E4-46F4-B851-2FA6620A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96E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Odyvanchik</cp:lastModifiedBy>
  <cp:revision>3</cp:revision>
  <cp:lastPrinted>2023-08-28T18:52:00Z</cp:lastPrinted>
  <dcterms:created xsi:type="dcterms:W3CDTF">2011-11-02T04:15:00Z</dcterms:created>
  <dcterms:modified xsi:type="dcterms:W3CDTF">2023-08-28T18:55:00Z</dcterms:modified>
</cp:coreProperties>
</file>